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78347">
      <w:pPr>
        <w:pStyle w:val="2"/>
        <w:widowControl w:val="0"/>
        <w:spacing w:before="100" w:after="0" w:line="360" w:lineRule="auto"/>
        <w:jc w:val="both"/>
        <w:rPr>
          <w:rFonts w:ascii="Times New Roman" w:hAnsi="Times New Roman" w:eastAsia="宋体" w:cs="Times New Roman"/>
          <w:kern w:val="2"/>
          <w:sz w:val="28"/>
          <w:highlight w:val="none"/>
        </w:rPr>
      </w:pPr>
      <w:bookmarkStart w:id="0" w:name="_Toc501460596"/>
      <w:bookmarkStart w:id="1" w:name="_Toc2340"/>
      <w:bookmarkStart w:id="2" w:name="_Toc29105"/>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bookmarkEnd w:id="0"/>
      <w:r>
        <w:rPr>
          <w:rFonts w:hint="eastAsia" w:ascii="Times New Roman" w:hAnsi="Times New Roman" w:eastAsia="宋体" w:cs="Times New Roman"/>
          <w:kern w:val="2"/>
          <w:sz w:val="28"/>
          <w:highlight w:val="none"/>
        </w:rPr>
        <w:t>招标公告附表</w:t>
      </w:r>
      <w:bookmarkEnd w:id="1"/>
      <w:bookmarkEnd w:id="2"/>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873"/>
        <w:gridCol w:w="822"/>
        <w:gridCol w:w="1045"/>
        <w:gridCol w:w="744"/>
        <w:gridCol w:w="700"/>
        <w:gridCol w:w="1111"/>
        <w:gridCol w:w="4138"/>
        <w:gridCol w:w="845"/>
        <w:gridCol w:w="677"/>
        <w:gridCol w:w="1213"/>
        <w:gridCol w:w="716"/>
        <w:gridCol w:w="645"/>
      </w:tblGrid>
      <w:tr w14:paraId="2C47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blHead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B6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77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包件号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F9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包件名称</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EC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物资材料名称</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5E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规格型号</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EC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计量单位</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FC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89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资格条件</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50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交货时间</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0E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交货地点</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19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交货条件及状态</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66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收货单位</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84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w:t>
            </w:r>
          </w:p>
        </w:tc>
      </w:tr>
      <w:tr w14:paraId="415C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71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F3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QFCL01</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180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无砟轨道嵌缝材料</w:t>
            </w:r>
          </w:p>
        </w:tc>
        <w:tc>
          <w:tcPr>
            <w:tcW w:w="368" w:type="pct"/>
            <w:tcBorders>
              <w:top w:val="single" w:color="333333" w:sz="4" w:space="0"/>
              <w:left w:val="single" w:color="333333" w:sz="4" w:space="0"/>
              <w:bottom w:val="single" w:color="333333" w:sz="4" w:space="0"/>
              <w:right w:val="single" w:color="333333" w:sz="4" w:space="0"/>
            </w:tcBorders>
            <w:shd w:val="clear" w:color="auto" w:fill="auto"/>
            <w:vAlign w:val="center"/>
          </w:tcPr>
          <w:p w14:paraId="191231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结构硅酮密封胶350g（含界面剂）</w:t>
            </w:r>
          </w:p>
        </w:tc>
        <w:tc>
          <w:tcPr>
            <w:tcW w:w="262" w:type="pct"/>
            <w:tcBorders>
              <w:top w:val="single" w:color="000000" w:sz="4" w:space="0"/>
              <w:left w:val="single" w:color="333333" w:sz="4" w:space="0"/>
              <w:bottom w:val="single" w:color="000000" w:sz="4" w:space="0"/>
              <w:right w:val="single" w:color="333333" w:sz="4" w:space="0"/>
            </w:tcBorders>
            <w:shd w:val="clear" w:color="auto" w:fill="auto"/>
            <w:noWrap/>
            <w:vAlign w:val="bottom"/>
          </w:tcPr>
          <w:p w14:paraId="13F51DE3">
            <w:pPr>
              <w:rPr>
                <w:rFonts w:hint="eastAsia" w:ascii="宋体" w:hAnsi="宋体" w:eastAsia="宋体" w:cs="宋体"/>
                <w:i w:val="0"/>
                <w:iCs w:val="0"/>
                <w:color w:val="000000"/>
                <w:sz w:val="21"/>
                <w:szCs w:val="21"/>
                <w:highlight w:val="none"/>
                <w:u w:val="none"/>
              </w:rPr>
            </w:pPr>
          </w:p>
        </w:tc>
        <w:tc>
          <w:tcPr>
            <w:tcW w:w="246" w:type="pct"/>
            <w:tcBorders>
              <w:top w:val="single" w:color="333333" w:sz="4" w:space="0"/>
              <w:left w:val="single" w:color="333333" w:sz="4" w:space="0"/>
              <w:bottom w:val="single" w:color="333333" w:sz="4" w:space="0"/>
              <w:right w:val="single" w:color="333333" w:sz="4" w:space="0"/>
            </w:tcBorders>
            <w:shd w:val="clear" w:color="auto" w:fill="auto"/>
            <w:vAlign w:val="center"/>
          </w:tcPr>
          <w:p w14:paraId="62C2A0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kg</w:t>
            </w:r>
          </w:p>
        </w:tc>
        <w:tc>
          <w:tcPr>
            <w:tcW w:w="391" w:type="pct"/>
            <w:tcBorders>
              <w:top w:val="nil"/>
              <w:left w:val="single" w:color="000000" w:sz="4" w:space="0"/>
              <w:bottom w:val="single" w:color="000000" w:sz="4" w:space="0"/>
              <w:right w:val="single" w:color="000000" w:sz="4" w:space="0"/>
            </w:tcBorders>
            <w:shd w:val="clear" w:color="auto" w:fill="auto"/>
            <w:vAlign w:val="center"/>
          </w:tcPr>
          <w:p w14:paraId="232F77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807.95</w:t>
            </w:r>
          </w:p>
        </w:tc>
        <w:tc>
          <w:tcPr>
            <w:tcW w:w="1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FBAD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1.在中华人民共和国境内依法注册，具有法人资格的生产商；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2.投标人须提供近3年(2022年-2024年)内任意一年经会计师事务所或审计机构审计的符合国家规定的财务会计报表；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投标人须提供结构硅酮密封胶近5年（2020年8月至投标截止日，以采购合同签订时间为准）至少一项铁路或其他交通建设项目的供货业绩，并提供对应的合同协议书、材料进场验收证书（或验收文件等）或用户使用证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4.投标人须提供由CMA或CNAS认证的检测机构依据《铁路无砟轨道嵌缝材料》（Q/CR 601-2017）出具的近3年（2022年8月至投标截止日）结构硅酮密封胶的检测报告。</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E1A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2025年</w:t>
            </w:r>
            <w:r>
              <w:rPr>
                <w:rFonts w:hint="eastAsia" w:ascii="宋体" w:hAnsi="宋体" w:cs="宋体"/>
                <w:i w:val="0"/>
                <w:iCs w:val="0"/>
                <w:color w:val="000000"/>
                <w:kern w:val="0"/>
                <w:sz w:val="21"/>
                <w:szCs w:val="21"/>
                <w:highlight w:val="none"/>
                <w:u w:val="none"/>
                <w:lang w:val="en-US" w:eastAsia="zh-CN" w:bidi="ar"/>
              </w:rPr>
              <w:t>11</w:t>
            </w:r>
            <w:r>
              <w:rPr>
                <w:rFonts w:hint="eastAsia" w:ascii="宋体" w:hAnsi="宋体" w:eastAsia="宋体" w:cs="宋体"/>
                <w:i w:val="0"/>
                <w:iCs w:val="0"/>
                <w:color w:val="000000"/>
                <w:kern w:val="0"/>
                <w:sz w:val="21"/>
                <w:szCs w:val="21"/>
                <w:highlight w:val="none"/>
                <w:u w:val="none"/>
                <w:lang w:val="en-US" w:eastAsia="zh-CN" w:bidi="ar"/>
              </w:rPr>
              <w:t>月至工程结束</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2EE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动车所工地</w:t>
            </w:r>
          </w:p>
        </w:tc>
        <w:tc>
          <w:tcPr>
            <w:tcW w:w="427" w:type="pct"/>
            <w:vMerge w:val="restart"/>
            <w:tcBorders>
              <w:top w:val="single" w:color="000000" w:sz="4" w:space="0"/>
              <w:left w:val="nil"/>
              <w:bottom w:val="single" w:color="000000" w:sz="4" w:space="0"/>
              <w:right w:val="nil"/>
            </w:tcBorders>
            <w:shd w:val="clear" w:color="auto" w:fill="auto"/>
            <w:vAlign w:val="center"/>
          </w:tcPr>
          <w:p w14:paraId="651CE9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车板交货   完好</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97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中铁六局</w:t>
            </w: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D0E9">
            <w:pPr>
              <w:jc w:val="center"/>
              <w:rPr>
                <w:rFonts w:hint="eastAsia" w:ascii="宋体" w:hAnsi="宋体" w:eastAsia="宋体" w:cs="宋体"/>
                <w:i w:val="0"/>
                <w:iCs w:val="0"/>
                <w:color w:val="000000"/>
                <w:sz w:val="21"/>
                <w:szCs w:val="21"/>
                <w:highlight w:val="none"/>
                <w:u w:val="none"/>
              </w:rPr>
            </w:pPr>
          </w:p>
        </w:tc>
      </w:tr>
      <w:tr w14:paraId="05AB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63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420C">
            <w:pPr>
              <w:jc w:val="center"/>
              <w:rPr>
                <w:rFonts w:hint="eastAsia" w:ascii="宋体" w:hAnsi="宋体" w:eastAsia="宋体" w:cs="宋体"/>
                <w:i w:val="0"/>
                <w:iCs w:val="0"/>
                <w:color w:val="000000"/>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BEC82">
            <w:pPr>
              <w:jc w:val="center"/>
              <w:rPr>
                <w:rFonts w:hint="eastAsia" w:ascii="宋体" w:hAnsi="宋体" w:eastAsia="宋体" w:cs="宋体"/>
                <w:i w:val="0"/>
                <w:iCs w:val="0"/>
                <w:color w:val="000000"/>
                <w:sz w:val="21"/>
                <w:szCs w:val="21"/>
                <w:highlight w:val="none"/>
                <w:u w:val="none"/>
              </w:rPr>
            </w:pPr>
          </w:p>
        </w:tc>
        <w:tc>
          <w:tcPr>
            <w:tcW w:w="368" w:type="pct"/>
            <w:tcBorders>
              <w:top w:val="single" w:color="333333" w:sz="4" w:space="0"/>
              <w:left w:val="single" w:color="333333" w:sz="4" w:space="0"/>
              <w:bottom w:val="single" w:color="333333" w:sz="4" w:space="0"/>
              <w:right w:val="single" w:color="333333" w:sz="4" w:space="0"/>
            </w:tcBorders>
            <w:shd w:val="clear" w:color="auto" w:fill="auto"/>
            <w:vAlign w:val="center"/>
          </w:tcPr>
          <w:p w14:paraId="59C8FE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聚乙烯泡沫塑料板</w:t>
            </w:r>
          </w:p>
        </w:tc>
        <w:tc>
          <w:tcPr>
            <w:tcW w:w="262" w:type="pct"/>
            <w:tcBorders>
              <w:top w:val="single" w:color="000000" w:sz="4" w:space="0"/>
              <w:left w:val="single" w:color="333333" w:sz="4" w:space="0"/>
              <w:bottom w:val="single" w:color="000000" w:sz="4" w:space="0"/>
              <w:right w:val="single" w:color="333333" w:sz="4" w:space="0"/>
            </w:tcBorders>
            <w:shd w:val="clear" w:color="auto" w:fill="auto"/>
            <w:noWrap/>
            <w:vAlign w:val="bottom"/>
          </w:tcPr>
          <w:p w14:paraId="52F9FB57">
            <w:pPr>
              <w:rPr>
                <w:rFonts w:hint="eastAsia" w:ascii="宋体" w:hAnsi="宋体" w:eastAsia="宋体" w:cs="宋体"/>
                <w:i w:val="0"/>
                <w:iCs w:val="0"/>
                <w:color w:val="000000"/>
                <w:sz w:val="21"/>
                <w:szCs w:val="21"/>
                <w:highlight w:val="none"/>
                <w:u w:val="none"/>
              </w:rPr>
            </w:pPr>
          </w:p>
        </w:tc>
        <w:tc>
          <w:tcPr>
            <w:tcW w:w="246" w:type="pct"/>
            <w:tcBorders>
              <w:top w:val="single" w:color="333333" w:sz="4" w:space="0"/>
              <w:left w:val="single" w:color="333333" w:sz="4" w:space="0"/>
              <w:bottom w:val="single" w:color="333333" w:sz="4" w:space="0"/>
              <w:right w:val="single" w:color="333333" w:sz="4" w:space="0"/>
            </w:tcBorders>
            <w:shd w:val="clear" w:color="auto" w:fill="auto"/>
            <w:vAlign w:val="center"/>
          </w:tcPr>
          <w:p w14:paraId="64415D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94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171.6</w:t>
            </w:r>
          </w:p>
        </w:tc>
        <w:tc>
          <w:tcPr>
            <w:tcW w:w="1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4E97E">
            <w:pPr>
              <w:jc w:val="left"/>
              <w:rPr>
                <w:rFonts w:hint="eastAsia" w:ascii="宋体" w:hAnsi="宋体" w:eastAsia="宋体" w:cs="宋体"/>
                <w:i w:val="0"/>
                <w:iCs w:val="0"/>
                <w:color w:val="000000"/>
                <w:sz w:val="21"/>
                <w:szCs w:val="21"/>
                <w:highlight w:val="none"/>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E0B0A">
            <w:pPr>
              <w:jc w:val="center"/>
              <w:rPr>
                <w:rFonts w:hint="eastAsia" w:ascii="宋体" w:hAnsi="宋体" w:eastAsia="宋体" w:cs="宋体"/>
                <w:i w:val="0"/>
                <w:iCs w:val="0"/>
                <w:color w:val="000000"/>
                <w:sz w:val="21"/>
                <w:szCs w:val="21"/>
                <w:highlight w:val="none"/>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648B0">
            <w:pPr>
              <w:jc w:val="center"/>
              <w:rPr>
                <w:rFonts w:hint="eastAsia" w:ascii="宋体" w:hAnsi="宋体" w:eastAsia="宋体" w:cs="宋体"/>
                <w:i w:val="0"/>
                <w:iCs w:val="0"/>
                <w:color w:val="000000"/>
                <w:sz w:val="21"/>
                <w:szCs w:val="21"/>
                <w:highlight w:val="none"/>
                <w:u w:val="none"/>
              </w:rPr>
            </w:pPr>
          </w:p>
        </w:tc>
        <w:tc>
          <w:tcPr>
            <w:tcW w:w="427" w:type="pct"/>
            <w:vMerge w:val="continue"/>
            <w:tcBorders>
              <w:top w:val="single" w:color="000000" w:sz="4" w:space="0"/>
              <w:left w:val="nil"/>
              <w:bottom w:val="single" w:color="000000" w:sz="4" w:space="0"/>
              <w:right w:val="nil"/>
            </w:tcBorders>
            <w:shd w:val="clear" w:color="auto" w:fill="auto"/>
            <w:vAlign w:val="center"/>
          </w:tcPr>
          <w:p w14:paraId="5509A76D">
            <w:pPr>
              <w:jc w:val="center"/>
              <w:rPr>
                <w:rFonts w:hint="eastAsia" w:ascii="宋体" w:hAnsi="宋体" w:eastAsia="宋体" w:cs="宋体"/>
                <w:i w:val="0"/>
                <w:iCs w:val="0"/>
                <w:color w:val="000000"/>
                <w:sz w:val="21"/>
                <w:szCs w:val="21"/>
                <w:highlight w:val="none"/>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EC76">
            <w:pPr>
              <w:jc w:val="center"/>
              <w:rPr>
                <w:rFonts w:hint="eastAsia" w:ascii="宋体" w:hAnsi="宋体" w:eastAsia="宋体" w:cs="宋体"/>
                <w:i w:val="0"/>
                <w:iCs w:val="0"/>
                <w:color w:val="000000"/>
                <w:sz w:val="21"/>
                <w:szCs w:val="21"/>
                <w:highlight w:val="none"/>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1396">
            <w:pPr>
              <w:jc w:val="center"/>
              <w:rPr>
                <w:rFonts w:hint="eastAsia" w:ascii="宋体" w:hAnsi="宋体" w:eastAsia="宋体" w:cs="宋体"/>
                <w:i w:val="0"/>
                <w:iCs w:val="0"/>
                <w:color w:val="000000"/>
                <w:sz w:val="21"/>
                <w:szCs w:val="21"/>
                <w:highlight w:val="none"/>
                <w:u w:val="none"/>
              </w:rPr>
            </w:pPr>
          </w:p>
        </w:tc>
      </w:tr>
    </w:tbl>
    <w:p w14:paraId="20CE78AA">
      <w:pPr>
        <w:rPr>
          <w:rFonts w:cs="Times New Roman"/>
          <w:sz w:val="28"/>
          <w:highlight w:val="none"/>
        </w:rPr>
        <w:sectPr>
          <w:footerReference r:id="rId5" w:type="default"/>
          <w:pgSz w:w="16838" w:h="11906" w:orient="landscape"/>
          <w:pgMar w:top="1080" w:right="1440" w:bottom="1080" w:left="1440" w:header="851" w:footer="992" w:gutter="0"/>
          <w:cols w:space="425" w:num="1"/>
          <w:docGrid w:linePitch="312" w:charSpace="0"/>
        </w:sectPr>
      </w:pPr>
    </w:p>
    <w:p w14:paraId="10B99A8F">
      <w:pPr>
        <w:pStyle w:val="2"/>
        <w:widowControl w:val="0"/>
        <w:spacing w:before="100" w:after="0" w:line="360" w:lineRule="auto"/>
        <w:jc w:val="both"/>
        <w:rPr>
          <w:rFonts w:ascii="Times New Roman" w:hAnsi="Times New Roman" w:eastAsia="宋体" w:cs="Times New Roman"/>
          <w:kern w:val="2"/>
          <w:sz w:val="28"/>
          <w:highlight w:val="none"/>
        </w:rPr>
      </w:pPr>
      <w:bookmarkStart w:id="3" w:name="_Toc23417"/>
      <w:r>
        <w:rPr>
          <w:rFonts w:hint="eastAsia" w:ascii="Times New Roman" w:hAnsi="Times New Roman" w:eastAsia="宋体" w:cs="Times New Roman"/>
          <w:kern w:val="2"/>
          <w:sz w:val="28"/>
          <w:highlight w:val="none"/>
        </w:rPr>
        <w:t>附件2：支付方式</w:t>
      </w:r>
      <w:bookmarkEnd w:id="3"/>
    </w:p>
    <w:p w14:paraId="3B6B1A52">
      <w:pPr>
        <w:widowControl/>
        <w:jc w:val="left"/>
        <w:rPr>
          <w:rFonts w:hint="eastAsia" w:ascii="宋体" w:hAnsi="宋体" w:cs="宋体"/>
          <w:szCs w:val="21"/>
          <w:highlight w:val="none"/>
        </w:rPr>
      </w:pPr>
    </w:p>
    <w:p w14:paraId="0973CD1E">
      <w:pPr>
        <w:keepNext w:val="0"/>
        <w:keepLines w:val="0"/>
        <w:pageBreakBefore w:val="0"/>
        <w:widowControl/>
        <w:kinsoku/>
        <w:wordWrap w:val="0"/>
        <w:overflowPunct/>
        <w:topLinePunct w:val="0"/>
        <w:autoSpaceDE/>
        <w:autoSpaceDN/>
        <w:bidi w:val="0"/>
        <w:adjustRightInd/>
        <w:snapToGrid/>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投标人须在招标文件发售期间通过中铁物总国际招标平台（https://bids.crmsc.com.cn/）完成汇款（具体缴费流程可咨询招标代理人员15131159711、13161866075）。完成相应包件支付后，将“汇款</w:t>
      </w:r>
      <w:r>
        <w:rPr>
          <w:rFonts w:hint="eastAsia" w:ascii="宋体" w:hAnsi="宋体" w:cs="宋体"/>
          <w:szCs w:val="21"/>
          <w:highlight w:val="none"/>
          <w:lang w:val="en-US" w:eastAsia="zh-CN"/>
        </w:rPr>
        <w:t>凭证</w:t>
      </w:r>
      <w:r>
        <w:rPr>
          <w:rFonts w:hint="eastAsia" w:ascii="宋体" w:hAnsi="宋体" w:cs="宋体"/>
          <w:szCs w:val="21"/>
          <w:highlight w:val="none"/>
        </w:rPr>
        <w:t>”的截图上传至北京工程建设公共资源交易平台，通过北京工程建设公共资源交易平台下载招标文件（电子版）。</w:t>
      </w:r>
    </w:p>
    <w:p w14:paraId="3389BC2B">
      <w:pPr>
        <w:keepNext w:val="0"/>
        <w:keepLines w:val="0"/>
        <w:pageBreakBefore w:val="0"/>
        <w:widowControl/>
        <w:kinsoku/>
        <w:wordWrap w:val="0"/>
        <w:overflowPunct/>
        <w:topLinePunct w:val="0"/>
        <w:autoSpaceDE/>
        <w:autoSpaceDN/>
        <w:bidi w:val="0"/>
        <w:adjustRightInd/>
        <w:snapToGrid/>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购买招标文件成功后，投标人如不能按时递交投标文件或放弃投标的，请于递交投标文件截止时间前5日，出具放弃投标的书面说明（须加盖公章，注明不参加的项目和包件号），将扫描件发送至851027788@qq.com，并电话与代理机构联系人进行确认。</w:t>
      </w:r>
    </w:p>
    <w:p w14:paraId="757D6BA1">
      <w:pPr>
        <w:keepNext w:val="0"/>
        <w:keepLines w:val="0"/>
        <w:pageBreakBefore w:val="0"/>
        <w:widowControl/>
        <w:kinsoku/>
        <w:wordWrap w:val="0"/>
        <w:overflowPunct/>
        <w:topLinePunct w:val="0"/>
        <w:autoSpaceDE/>
        <w:autoSpaceDN/>
        <w:bidi w:val="0"/>
        <w:adjustRightInd/>
        <w:snapToGrid/>
        <w:ind w:firstLine="422" w:firstLineChars="200"/>
        <w:jc w:val="left"/>
        <w:textAlignment w:val="auto"/>
        <w:rPr>
          <w:rFonts w:hint="eastAsia" w:ascii="宋体" w:hAnsi="宋体" w:cs="宋体"/>
          <w:b/>
          <w:bCs/>
          <w:szCs w:val="21"/>
          <w:highlight w:val="none"/>
        </w:rPr>
      </w:pPr>
      <w:r>
        <w:rPr>
          <w:rFonts w:hint="eastAsia" w:ascii="宋体" w:hAnsi="宋体" w:cs="宋体"/>
          <w:b/>
          <w:bCs/>
          <w:szCs w:val="21"/>
          <w:highlight w:val="none"/>
        </w:rPr>
        <w:t>已购买过招标文件的投标人，如果继续参加本次投标，按照以上支付步骤重新操作，标书款零元。将将“汇款凭证”的截图上传至北京工程建设公共资源交易平台，通过北京工程建设公共资源交易平台下载招标文件（电子版）。</w:t>
      </w:r>
    </w:p>
    <w:p w14:paraId="67970861">
      <w:pPr>
        <w:widowControl/>
        <w:jc w:val="left"/>
        <w:rPr>
          <w:rFonts w:hint="eastAsia" w:ascii="宋体" w:hAnsi="宋体" w:cs="宋体"/>
          <w:szCs w:val="21"/>
          <w:highlight w:val="green"/>
        </w:rPr>
      </w:pPr>
    </w:p>
    <w:p w14:paraId="28296C0C">
      <w:pPr>
        <w:widowControl/>
        <w:jc w:val="left"/>
        <w:rPr>
          <w:rFonts w:hint="eastAsia" w:ascii="宋体" w:hAnsi="宋体" w:cs="宋体"/>
          <w:szCs w:val="21"/>
          <w:highlight w:val="none"/>
        </w:rPr>
      </w:pPr>
      <w:r>
        <w:rPr>
          <w:rFonts w:hint="eastAsia" w:ascii="宋体" w:hAnsi="宋体" w:cs="宋体"/>
          <w:szCs w:val="21"/>
          <w:highlight w:val="none"/>
        </w:rPr>
        <w:t>代理机构：中铁物总国际招标有限公司</w:t>
      </w:r>
    </w:p>
    <w:p w14:paraId="5822D708">
      <w:pPr>
        <w:widowControl/>
        <w:jc w:val="left"/>
        <w:rPr>
          <w:rFonts w:hint="eastAsia" w:ascii="宋体" w:hAnsi="宋体" w:cs="宋体"/>
          <w:szCs w:val="21"/>
          <w:highlight w:val="none"/>
        </w:rPr>
      </w:pPr>
      <w:r>
        <w:rPr>
          <w:rFonts w:hint="eastAsia" w:ascii="宋体" w:hAnsi="宋体" w:cs="宋体"/>
          <w:szCs w:val="21"/>
          <w:highlight w:val="none"/>
        </w:rPr>
        <w:t>地  址：北京市丰台区凤凰嘴街鼎兴大厦A座11层</w:t>
      </w:r>
    </w:p>
    <w:p w14:paraId="4BA04378">
      <w:pPr>
        <w:widowControl/>
        <w:jc w:val="left"/>
        <w:rPr>
          <w:rFonts w:hint="eastAsia"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lang w:val="en-US" w:eastAsia="zh-CN"/>
        </w:rPr>
        <w:t>王思宇、</w:t>
      </w:r>
      <w:r>
        <w:rPr>
          <w:rFonts w:hint="eastAsia" w:ascii="宋体" w:hAnsi="宋体" w:cs="宋体"/>
          <w:szCs w:val="21"/>
          <w:highlight w:val="none"/>
        </w:rPr>
        <w:t>刘宗凯</w:t>
      </w:r>
    </w:p>
    <w:p w14:paraId="5E492C35">
      <w:pPr>
        <w:widowControl/>
        <w:jc w:val="left"/>
        <w:rPr>
          <w:rFonts w:hint="eastAsia" w:ascii="宋体" w:hAnsi="宋体" w:cs="宋体"/>
          <w:szCs w:val="21"/>
          <w:highlight w:val="none"/>
        </w:rPr>
      </w:pPr>
      <w:r>
        <w:rPr>
          <w:rFonts w:hint="eastAsia" w:ascii="宋体" w:hAnsi="宋体" w:cs="宋体"/>
          <w:szCs w:val="21"/>
          <w:highlight w:val="none"/>
        </w:rPr>
        <w:t>电  话：13161866075、15131159711</w:t>
      </w:r>
    </w:p>
    <w:p w14:paraId="3831D063">
      <w:pPr>
        <w:widowControl/>
        <w:jc w:val="left"/>
        <w:rPr>
          <w:rFonts w:hint="eastAsia" w:ascii="宋体" w:hAnsi="宋体" w:cs="宋体"/>
          <w:szCs w:val="21"/>
          <w:highlight w:val="none"/>
        </w:rPr>
      </w:pPr>
    </w:p>
    <w:p w14:paraId="1293A071">
      <w:pP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3AC2E709">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石家庄至雄安新区铁路改扩建石家庄动车所</w:t>
      </w:r>
      <w:bookmarkStart w:id="4" w:name="_GoBack"/>
      <w:bookmarkEnd w:id="4"/>
      <w:r>
        <w:rPr>
          <w:rFonts w:hint="eastAsia" w:ascii="宋体" w:hAnsi="宋体" w:eastAsia="宋体" w:cs="宋体"/>
          <w:sz w:val="44"/>
          <w:szCs w:val="44"/>
          <w:highlight w:val="none"/>
        </w:rPr>
        <w:t>相关工程建管甲供物资第一批次（嵌缝材料）异议提出方式及主要内容</w:t>
      </w:r>
    </w:p>
    <w:p w14:paraId="19D9D2A9">
      <w:pPr>
        <w:snapToGrid w:val="0"/>
        <w:spacing w:line="360" w:lineRule="auto"/>
        <w:rPr>
          <w:rFonts w:hint="eastAsia" w:ascii="仿宋_GB2312" w:hAnsi="仿宋" w:eastAsia="仿宋_GB2312" w:cs="仿宋"/>
          <w:sz w:val="28"/>
          <w:szCs w:val="28"/>
          <w:highlight w:val="none"/>
        </w:rPr>
      </w:pPr>
    </w:p>
    <w:p w14:paraId="678D85B3">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984252009"/>
        </w:rPr>
        <w:t>招标异议地</w:t>
      </w:r>
      <w:r>
        <w:rPr>
          <w:rFonts w:hint="eastAsia" w:ascii="仿宋_GB2312" w:hAnsi="仿宋" w:eastAsia="仿宋_GB2312" w:cs="仿宋"/>
          <w:spacing w:val="0"/>
          <w:kern w:val="0"/>
          <w:sz w:val="28"/>
          <w:szCs w:val="28"/>
          <w:highlight w:val="none"/>
          <w:fitText w:val="3080" w:id="984252009"/>
        </w:rPr>
        <w:t>址</w:t>
      </w:r>
      <w:r>
        <w:rPr>
          <w:rFonts w:hint="eastAsia" w:ascii="仿宋_GB2312" w:hAnsi="仿宋" w:eastAsia="仿宋_GB2312" w:cs="仿宋"/>
          <w:sz w:val="28"/>
          <w:szCs w:val="28"/>
          <w:highlight w:val="none"/>
        </w:rPr>
        <w:t>：河北省石家庄市新华路100号</w:t>
      </w:r>
    </w:p>
    <w:p w14:paraId="3B4F050F">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93"/>
          <w:kern w:val="0"/>
          <w:sz w:val="28"/>
          <w:szCs w:val="28"/>
          <w:highlight w:val="none"/>
          <w:fitText w:val="3080" w:id="1237788204"/>
        </w:rPr>
        <w:t>招标异议联系</w:t>
      </w:r>
      <w:r>
        <w:rPr>
          <w:rFonts w:hint="eastAsia" w:ascii="仿宋_GB2312" w:hAnsi="仿宋" w:eastAsia="仿宋_GB2312" w:cs="仿宋"/>
          <w:spacing w:val="2"/>
          <w:kern w:val="0"/>
          <w:sz w:val="28"/>
          <w:szCs w:val="28"/>
          <w:highlight w:val="none"/>
          <w:fitText w:val="3080" w:id="1237788204"/>
        </w:rPr>
        <w:t>人</w:t>
      </w:r>
      <w:r>
        <w:rPr>
          <w:rFonts w:hint="eastAsia" w:ascii="仿宋_GB2312" w:hAnsi="仿宋" w:eastAsia="仿宋_GB2312" w:cs="仿宋"/>
          <w:sz w:val="28"/>
          <w:szCs w:val="28"/>
          <w:highlight w:val="none"/>
        </w:rPr>
        <w:t>：温庆革</w:t>
      </w:r>
    </w:p>
    <w:p w14:paraId="6181F2E7">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30873539"/>
        </w:rPr>
        <w:t>招标异议电</w:t>
      </w:r>
      <w:r>
        <w:rPr>
          <w:rFonts w:hint="eastAsia" w:ascii="仿宋_GB2312" w:hAnsi="仿宋" w:eastAsia="仿宋_GB2312" w:cs="仿宋"/>
          <w:spacing w:val="0"/>
          <w:kern w:val="0"/>
          <w:sz w:val="28"/>
          <w:szCs w:val="28"/>
          <w:highlight w:val="none"/>
          <w:fitText w:val="3080" w:id="30873539"/>
        </w:rPr>
        <w:t>话</w:t>
      </w:r>
      <w:r>
        <w:rPr>
          <w:rFonts w:hint="eastAsia" w:ascii="仿宋_GB2312" w:hAnsi="仿宋" w:eastAsia="仿宋_GB2312" w:cs="仿宋"/>
          <w:sz w:val="28"/>
          <w:szCs w:val="28"/>
          <w:highlight w:val="none"/>
        </w:rPr>
        <w:t>：0311-87922724、18931140149</w:t>
      </w:r>
    </w:p>
    <w:p w14:paraId="3BD3BD50">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7"/>
          <w:kern w:val="0"/>
          <w:sz w:val="28"/>
          <w:szCs w:val="28"/>
          <w:highlight w:val="none"/>
          <w:fitText w:val="3080" w:id="89590833"/>
        </w:rPr>
        <w:t>招标异议联系传真/邮</w:t>
      </w:r>
      <w:r>
        <w:rPr>
          <w:rFonts w:hint="eastAsia" w:ascii="仿宋_GB2312" w:hAnsi="仿宋" w:eastAsia="仿宋_GB2312" w:cs="仿宋"/>
          <w:spacing w:val="3"/>
          <w:kern w:val="0"/>
          <w:sz w:val="28"/>
          <w:szCs w:val="28"/>
          <w:highlight w:val="none"/>
          <w:fitText w:val="3080" w:id="89590833"/>
        </w:rPr>
        <w:t>箱</w:t>
      </w:r>
      <w:r>
        <w:rPr>
          <w:rFonts w:hint="eastAsia" w:ascii="仿宋_GB2312" w:hAnsi="仿宋" w:eastAsia="仿宋_GB2312" w:cs="仿宋"/>
          <w:sz w:val="28"/>
          <w:szCs w:val="28"/>
          <w:highlight w:val="none"/>
        </w:rPr>
        <w:t>：sjzxmbwzb@163.com</w:t>
      </w:r>
    </w:p>
    <w:p w14:paraId="71EF9085">
      <w:pPr>
        <w:snapToGrid w:val="0"/>
        <w:spacing w:line="360" w:lineRule="auto"/>
        <w:rPr>
          <w:rFonts w:ascii="仿宋_GB2312" w:hAnsi="仿宋" w:eastAsia="仿宋_GB2312" w:cs="仿宋"/>
          <w:sz w:val="28"/>
          <w:szCs w:val="28"/>
          <w:highlight w:val="none"/>
        </w:rPr>
      </w:pPr>
    </w:p>
    <w:p w14:paraId="6F009866">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异议函件应包括以下主要内容:</w:t>
      </w:r>
    </w:p>
    <w:p w14:paraId="04E36CF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（一）异议人的名称、地址、联系人及联系电话、电子邮箱等有效联系方式；</w:t>
      </w:r>
    </w:p>
    <w:p w14:paraId="2096AB54">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（二）异议事项涉及的项目名称、基本事实及相关证明材料；</w:t>
      </w:r>
    </w:p>
    <w:p w14:paraId="4F376AF0">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（三）异议请求及主张；</w:t>
      </w:r>
    </w:p>
    <w:p w14:paraId="6F82437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（四）异议人应提供与物资采购活动存在利害关系的证明材料；</w:t>
      </w:r>
    </w:p>
    <w:p w14:paraId="7362DDD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（五）异议函件有关材料是外文的，异议人应同时提供其中文译本，并附相关的真实性证明；</w:t>
      </w:r>
    </w:p>
    <w:p w14:paraId="19CF3B8A">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（六）异议人已向有关行政监督部门投诉并被受理的应一并说明。</w:t>
      </w:r>
    </w:p>
    <w:p w14:paraId="150FDDE9">
      <w:pPr>
        <w:widowControl/>
        <w:spacing w:line="240" w:lineRule="auto"/>
        <w:jc w:val="left"/>
      </w:pPr>
      <w:r>
        <w:rPr>
          <w:rFonts w:hint="eastAsia" w:ascii="仿宋_GB2312" w:hAnsi="仿宋" w:eastAsia="仿宋_GB2312" w:cs="仿宋"/>
          <w:sz w:val="28"/>
          <w:szCs w:val="28"/>
          <w:highlight w:val="none"/>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E499">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D99A7D">
                          <w:pPr>
                            <w:pStyle w:val="3"/>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LOOGvcEBAACNAwAADgAAAAAAAAABACAAAAAeAQAAZHJzL2Uyb0RvYy54bWxQSwUG&#10;AAAAAAYABgBZAQAAUQUAAAAA&#10;">
              <v:fill on="f" focussize="0,0"/>
              <v:stroke on="f"/>
              <v:imagedata o:title=""/>
              <o:lock v:ext="edit" aspectratio="f"/>
              <v:textbox inset="0mm,0mm,0mm,0mm" style="mso-fit-shape-to-text:t;">
                <w:txbxContent>
                  <w:p w14:paraId="6CD99A7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DB0FE">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81A752">
                          <w:pPr>
                            <w:pStyle w:val="3"/>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AgVv8IBAACN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AIFb/CAQAAjQMAAA4AAAAAAAAAAQAgAAAAHgEAAGRycy9lMm9Eb2MueG1sUEsF&#10;BgAAAAAGAAYAWQEAAFIFAAAAAA==&#10;">
              <v:fill on="f" focussize="0,0"/>
              <v:stroke on="f"/>
              <v:imagedata o:title=""/>
              <o:lock v:ext="edit" aspectratio="f"/>
              <v:textbox inset="0mm,0mm,0mm,0mm" style="mso-fit-shape-to-text:t;">
                <w:txbxContent>
                  <w:p w14:paraId="0E81A752">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95D5A"/>
    <w:rsid w:val="2C795D5A"/>
    <w:rsid w:val="6EA93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1163</Words>
  <Characters>1339</Characters>
  <Lines>0</Lines>
  <Paragraphs>0</Paragraphs>
  <TotalTime>0</TotalTime>
  <ScaleCrop>false</ScaleCrop>
  <LinksUpToDate>false</LinksUpToDate>
  <CharactersWithSpaces>1347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2025-09-11T01:58:00Z</dcterms:created>
  <dc:creator>凯</dc:creator>
  <cp:lastModifiedBy>凯</cp:lastModifiedBy>
  <dcterms:modified xsi:type="dcterms:W3CDTF">2025-09-11T01:59:51Z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168BDADE30A14FE194FC8FCC24671DB4_11</vt:lpwstr>
  </property>
  <property fmtid="{D5CDD505-2E9C-101B-9397-08002B2CF9AE}" pid="4" name="KSOTemplateDocerSaveRecord">
    <vt:lpwstr>eyJoZGlkIjoiMDQwYzAzMDMwNTQ1OTZhYzIxMWFhYjI5NTEwMTUyODUiLCJ1c2VySWQiOiI1MDkyMjQ1MjAifQ==</vt:lpwstr>
  </property>
</Properties>
</file>